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C3C65" w14:textId="77777777" w:rsidR="00861131" w:rsidRDefault="00861131" w:rsidP="00861131">
      <w:pPr>
        <w:rPr>
          <w:b/>
          <w:bCs/>
          <w:sz w:val="24"/>
          <w:szCs w:val="24"/>
        </w:rPr>
      </w:pPr>
      <w:r w:rsidRPr="00861131">
        <w:rPr>
          <w:b/>
          <w:bCs/>
          <w:sz w:val="24"/>
          <w:szCs w:val="24"/>
        </w:rPr>
        <w:t>Motion: No Harbour for Genocide – Trade Union Solidarity with the Palestinian People</w:t>
      </w:r>
    </w:p>
    <w:p w14:paraId="18E92287" w14:textId="77777777" w:rsidR="00861131" w:rsidRPr="00861131" w:rsidRDefault="00861131" w:rsidP="00861131">
      <w:pPr>
        <w:rPr>
          <w:b/>
          <w:bCs/>
          <w:sz w:val="24"/>
          <w:szCs w:val="24"/>
        </w:rPr>
      </w:pPr>
    </w:p>
    <w:p w14:paraId="7BF15E32" w14:textId="77777777" w:rsidR="008D76C0" w:rsidRPr="00641B70" w:rsidRDefault="008D76C0" w:rsidP="008D76C0">
      <w:pPr>
        <w:rPr>
          <w:rFonts w:ascii="Arial" w:hAnsi="Arial" w:cs="Arial"/>
        </w:rPr>
      </w:pPr>
      <w:r w:rsidRPr="00641B70">
        <w:rPr>
          <w:rFonts w:ascii="Arial" w:hAnsi="Arial" w:cs="Arial"/>
        </w:rPr>
        <w:t>This union notes:</w:t>
      </w:r>
    </w:p>
    <w:p w14:paraId="5D68DBD4" w14:textId="7AB4FE58" w:rsidR="00641B70" w:rsidRDefault="00641B70" w:rsidP="00641B70">
      <w:pPr>
        <w:pStyle w:val="NormalWeb"/>
        <w:numPr>
          <w:ilvl w:val="0"/>
          <w:numId w:val="4"/>
        </w:numPr>
        <w:spacing w:before="0" w:beforeAutospacing="0" w:after="0" w:afterAutospacing="0"/>
        <w:textAlignment w:val="baseline"/>
        <w:rPr>
          <w:rFonts w:ascii="Arial" w:hAnsi="Arial" w:cs="Arial"/>
          <w:color w:val="000000"/>
          <w:sz w:val="22"/>
          <w:szCs w:val="22"/>
        </w:rPr>
      </w:pPr>
      <w:r w:rsidRPr="00641B70">
        <w:rPr>
          <w:rFonts w:ascii="Arial" w:hAnsi="Arial" w:cs="Arial"/>
          <w:color w:val="000000"/>
          <w:sz w:val="22"/>
          <w:szCs w:val="22"/>
        </w:rPr>
        <w:t xml:space="preserve">The International Court of Justice has recognized Israel’s operations in Gaza as “plausible” genocide and </w:t>
      </w:r>
      <w:r w:rsidRPr="00641B70">
        <w:rPr>
          <w:rFonts w:ascii="Arial" w:hAnsi="Arial" w:cs="Arial"/>
          <w:color w:val="000000"/>
          <w:sz w:val="22"/>
          <w:szCs w:val="22"/>
        </w:rPr>
        <w:t>reputable</w:t>
      </w:r>
      <w:r w:rsidRPr="00641B70">
        <w:rPr>
          <w:rFonts w:ascii="Arial" w:hAnsi="Arial" w:cs="Arial"/>
          <w:color w:val="000000"/>
          <w:sz w:val="22"/>
          <w:szCs w:val="22"/>
        </w:rPr>
        <w:t xml:space="preserve"> international legal experts, UN officials, and human rights organisations </w:t>
      </w:r>
      <w:r w:rsidRPr="00641B70">
        <w:rPr>
          <w:rFonts w:ascii="Arial" w:hAnsi="Arial" w:cs="Arial"/>
          <w:color w:val="000000"/>
          <w:sz w:val="22"/>
          <w:szCs w:val="22"/>
        </w:rPr>
        <w:t>have</w:t>
      </w:r>
      <w:r w:rsidRPr="00641B70">
        <w:rPr>
          <w:rFonts w:ascii="Arial" w:hAnsi="Arial" w:cs="Arial"/>
          <w:color w:val="000000"/>
          <w:sz w:val="22"/>
          <w:szCs w:val="22"/>
        </w:rPr>
        <w:t xml:space="preserve"> proven that Israel commits the atrocity crime of raised credible concerns that Israel is committing acts that may constitute genocide, as defined in the 1948 UN Convention on the Prevention and Punishment of the Crime of Genocide.</w:t>
      </w:r>
    </w:p>
    <w:p w14:paraId="3A840513" w14:textId="77777777" w:rsidR="00641B70" w:rsidRPr="00641B70" w:rsidRDefault="00641B70" w:rsidP="00641B70">
      <w:pPr>
        <w:pStyle w:val="NormalWeb"/>
        <w:spacing w:before="0" w:beforeAutospacing="0" w:after="0" w:afterAutospacing="0"/>
        <w:ind w:left="720"/>
        <w:textAlignment w:val="baseline"/>
        <w:rPr>
          <w:rFonts w:ascii="Arial" w:hAnsi="Arial" w:cs="Arial"/>
          <w:color w:val="000000"/>
          <w:sz w:val="22"/>
          <w:szCs w:val="22"/>
        </w:rPr>
      </w:pPr>
    </w:p>
    <w:p w14:paraId="30D40B06" w14:textId="77777777" w:rsidR="00641B70" w:rsidRDefault="00641B70" w:rsidP="00641B70">
      <w:pPr>
        <w:pStyle w:val="NormalWeb"/>
        <w:numPr>
          <w:ilvl w:val="0"/>
          <w:numId w:val="4"/>
        </w:numPr>
        <w:spacing w:before="0" w:beforeAutospacing="0" w:after="0" w:afterAutospacing="0"/>
        <w:textAlignment w:val="baseline"/>
        <w:rPr>
          <w:rFonts w:ascii="Arial" w:hAnsi="Arial" w:cs="Arial"/>
          <w:color w:val="000000"/>
          <w:sz w:val="22"/>
          <w:szCs w:val="22"/>
        </w:rPr>
      </w:pPr>
      <w:r w:rsidRPr="00641B70">
        <w:rPr>
          <w:rFonts w:ascii="Arial" w:hAnsi="Arial" w:cs="Arial"/>
          <w:color w:val="000000"/>
          <w:sz w:val="22"/>
          <w:szCs w:val="22"/>
        </w:rPr>
        <w:t>The International Court of Justice has recognized Israel’s military occupation as illegal and amounting to genocide.</w:t>
      </w:r>
    </w:p>
    <w:p w14:paraId="6970D862" w14:textId="77777777" w:rsidR="00641B70" w:rsidRPr="00641B70" w:rsidRDefault="00641B70" w:rsidP="00641B70">
      <w:pPr>
        <w:pStyle w:val="NormalWeb"/>
        <w:spacing w:before="0" w:beforeAutospacing="0" w:after="0" w:afterAutospacing="0"/>
        <w:textAlignment w:val="baseline"/>
        <w:rPr>
          <w:rFonts w:ascii="Arial" w:hAnsi="Arial" w:cs="Arial"/>
          <w:color w:val="000000"/>
          <w:sz w:val="22"/>
          <w:szCs w:val="22"/>
        </w:rPr>
      </w:pPr>
    </w:p>
    <w:p w14:paraId="7220FBED" w14:textId="77777777" w:rsidR="00641B70" w:rsidRPr="00641B70" w:rsidRDefault="00641B70" w:rsidP="00641B70">
      <w:pPr>
        <w:numPr>
          <w:ilvl w:val="0"/>
          <w:numId w:val="4"/>
        </w:numPr>
        <w:rPr>
          <w:rFonts w:ascii="Arial" w:hAnsi="Arial" w:cs="Arial"/>
        </w:rPr>
      </w:pPr>
      <w:r w:rsidRPr="00641B70">
        <w:rPr>
          <w:rFonts w:ascii="Arial" w:hAnsi="Arial" w:cs="Arial"/>
        </w:rPr>
        <w:t>Israel’s military assault on Gaza has resulted in the deaths of tens of thousands of Palestinians and the displacement of over a million people, amid widespread destruction of infrastructure, homes, hospitals, and schools</w:t>
      </w:r>
      <w:r w:rsidRPr="00641B70">
        <w:rPr>
          <w:rFonts w:ascii="Arial" w:hAnsi="Arial" w:cs="Arial"/>
        </w:rPr>
        <w:t>.</w:t>
      </w:r>
    </w:p>
    <w:p w14:paraId="138B7880" w14:textId="41EB1211" w:rsidR="00641B70" w:rsidRPr="00641B70" w:rsidRDefault="00641B70" w:rsidP="00641B70">
      <w:pPr>
        <w:numPr>
          <w:ilvl w:val="0"/>
          <w:numId w:val="4"/>
        </w:numPr>
        <w:rPr>
          <w:rFonts w:ascii="Arial" w:hAnsi="Arial" w:cs="Arial"/>
        </w:rPr>
      </w:pPr>
      <w:r w:rsidRPr="00641B70">
        <w:rPr>
          <w:rFonts w:ascii="Arial" w:hAnsi="Arial" w:cs="Arial"/>
        </w:rPr>
        <w:t xml:space="preserve">Resolution </w:t>
      </w:r>
      <w:hyperlink r:id="rId5" w:history="1">
        <w:r w:rsidRPr="00641B70">
          <w:rPr>
            <w:rStyle w:val="Hyperlink"/>
            <w:rFonts w:ascii="Arial" w:hAnsi="Arial" w:cs="Arial"/>
          </w:rPr>
          <w:t>A/ES-10/L.31</w:t>
        </w:r>
      </w:hyperlink>
      <w:r w:rsidRPr="00641B70">
        <w:rPr>
          <w:rFonts w:ascii="Arial" w:hAnsi="Arial" w:cs="Arial"/>
        </w:rPr>
        <w:t>, which mandates states to “take steps towards ceasing [...] the provision or transfer of arms, munitions and related equipment to Israel, the occupying Power, in all cases where there are reasonable grounds to suspect that they may be used in the Occupied Palestinian Territory;”</w:t>
      </w:r>
    </w:p>
    <w:p w14:paraId="689A9459" w14:textId="77777777" w:rsidR="00641B70" w:rsidRPr="00641B70" w:rsidRDefault="00641B70" w:rsidP="00641B70">
      <w:pPr>
        <w:numPr>
          <w:ilvl w:val="0"/>
          <w:numId w:val="4"/>
        </w:numPr>
        <w:rPr>
          <w:rFonts w:ascii="Arial" w:hAnsi="Arial" w:cs="Arial"/>
        </w:rPr>
      </w:pPr>
      <w:r w:rsidRPr="00641B70">
        <w:rPr>
          <w:rFonts w:ascii="Arial" w:hAnsi="Arial" w:cs="Arial"/>
        </w:rPr>
        <w:t>The Arms Trade Treaty prohibits the export and transfer or arms, ammunition/munition, or their parts and components in any case where they could contribute to or undermine peace and security or could be used to commit or facilitate a serious violation of international humanitarian or human rights law.”</w:t>
      </w:r>
    </w:p>
    <w:p w14:paraId="0D3A0FF9" w14:textId="77777777" w:rsidR="00641B70" w:rsidRPr="00641B70" w:rsidRDefault="00641B70" w:rsidP="00641B70">
      <w:pPr>
        <w:numPr>
          <w:ilvl w:val="0"/>
          <w:numId w:val="4"/>
        </w:numPr>
        <w:rPr>
          <w:rFonts w:ascii="Arial" w:hAnsi="Arial" w:cs="Arial"/>
        </w:rPr>
      </w:pPr>
      <w:r w:rsidRPr="00641B70">
        <w:rPr>
          <w:rFonts w:ascii="Arial" w:hAnsi="Arial" w:cs="Arial"/>
        </w:rPr>
        <w:t xml:space="preserve">ASCOMARE, an international think-tank on the Law of the Sea, </w:t>
      </w:r>
      <w:hyperlink r:id="rId6" w:history="1">
        <w:r w:rsidRPr="00641B70">
          <w:rPr>
            <w:rStyle w:val="Hyperlink"/>
            <w:rFonts w:ascii="Arial" w:hAnsi="Arial" w:cs="Arial"/>
          </w:rPr>
          <w:t>issued</w:t>
        </w:r>
      </w:hyperlink>
      <w:r w:rsidRPr="00641B70">
        <w:rPr>
          <w:rFonts w:ascii="Arial" w:hAnsi="Arial" w:cs="Arial"/>
        </w:rPr>
        <w:t xml:space="preserve"> an authoritative study confirming that coastal states must take necessary action within their territorial seas, including interrupting or suspending passage, against vessels carrying military supplies or other cargo that assists Israel in its illegal occupation, apartheid, genocide, or other violations of fundamental principles (peremptory norms) of international law, such as the right to self-determination of peoples and the prohibition on the acquisition of territory by force. Flag states </w:t>
      </w:r>
      <w:proofErr w:type="gramStart"/>
      <w:r w:rsidRPr="00641B70">
        <w:rPr>
          <w:rFonts w:ascii="Arial" w:hAnsi="Arial" w:cs="Arial"/>
        </w:rPr>
        <w:t>have to</w:t>
      </w:r>
      <w:proofErr w:type="gramEnd"/>
      <w:r w:rsidRPr="00641B70">
        <w:rPr>
          <w:rFonts w:ascii="Arial" w:hAnsi="Arial" w:cs="Arial"/>
        </w:rPr>
        <w:t xml:space="preserve"> (1) adopt appropriate laws or regulations to ban vessels illegally transferring cargo that supports Israel’s commission of international crimes from carrying their flag (2) establish administrative frameworks and enforcement mechanisms (3) ensure continuous oversight, and (4) take prompt action when they are informed of the risk of non-compliance with these rules. If coastal states or flag states fail to implement these measures, they themselves should be held accountable for violating international law. </w:t>
      </w:r>
    </w:p>
    <w:p w14:paraId="07837DAE" w14:textId="77777777" w:rsidR="00641B70" w:rsidRPr="00641B70" w:rsidRDefault="00641B70" w:rsidP="00641B70">
      <w:pPr>
        <w:numPr>
          <w:ilvl w:val="0"/>
          <w:numId w:val="4"/>
        </w:numPr>
        <w:rPr>
          <w:rFonts w:ascii="Arial" w:hAnsi="Arial" w:cs="Arial"/>
        </w:rPr>
      </w:pPr>
      <w:r w:rsidRPr="00641B70">
        <w:rPr>
          <w:rFonts w:ascii="Arial" w:hAnsi="Arial" w:cs="Arial"/>
        </w:rPr>
        <w:t xml:space="preserve">Palestinian trade unions have repeatedly </w:t>
      </w:r>
      <w:hyperlink r:id="rId7" w:history="1">
        <w:r w:rsidRPr="00641B70">
          <w:rPr>
            <w:rStyle w:val="Hyperlink"/>
            <w:rFonts w:ascii="Arial" w:hAnsi="Arial" w:cs="Arial"/>
          </w:rPr>
          <w:t>urged</w:t>
        </w:r>
      </w:hyperlink>
      <w:r w:rsidRPr="00641B70">
        <w:rPr>
          <w:rFonts w:ascii="Arial" w:hAnsi="Arial" w:cs="Arial"/>
        </w:rPr>
        <w:t xml:space="preserve"> their counterparts across the globe to ensure the workers they are representing are not participating in the supply chain for genocide, apartheid and illegal occupation. </w:t>
      </w:r>
    </w:p>
    <w:p w14:paraId="579AE54E" w14:textId="5A7934DB" w:rsidR="008D76C0" w:rsidRPr="00641B70" w:rsidRDefault="00641B70" w:rsidP="00641B70">
      <w:pPr>
        <w:numPr>
          <w:ilvl w:val="0"/>
          <w:numId w:val="4"/>
        </w:numPr>
        <w:rPr>
          <w:rFonts w:ascii="Arial" w:hAnsi="Arial" w:cs="Arial"/>
        </w:rPr>
      </w:pPr>
      <w:r w:rsidRPr="00641B70">
        <w:rPr>
          <w:rFonts w:ascii="Arial" w:hAnsi="Arial" w:cs="Arial"/>
        </w:rPr>
        <w:t xml:space="preserve">The </w:t>
      </w:r>
      <w:r w:rsidRPr="00641B70">
        <w:rPr>
          <w:rFonts w:ascii="Arial" w:hAnsi="Arial" w:cs="Arial"/>
          <w:i/>
          <w:iCs/>
        </w:rPr>
        <w:t xml:space="preserve">No Harbour for Genocide </w:t>
      </w:r>
      <w:r w:rsidRPr="00641B70">
        <w:rPr>
          <w:rFonts w:ascii="Arial" w:hAnsi="Arial" w:cs="Arial"/>
        </w:rPr>
        <w:t>campaign has identified a list of vessels owned or operated by companies that supply arms, military equipment and energy used in Israel’s assault on Gaza. These vessels are engaged in the bulk, specialist and repeated supply of military equipment and energy to Israel. </w:t>
      </w:r>
      <w:r w:rsidRPr="00641B70">
        <w:rPr>
          <w:rFonts w:ascii="Arial" w:hAnsi="Arial" w:cs="Arial"/>
        </w:rPr>
        <w:br/>
      </w:r>
      <w:r w:rsidR="008D76C0" w:rsidRPr="00641B70">
        <w:rPr>
          <w:rFonts w:ascii="Arial" w:hAnsi="Arial" w:cs="Arial"/>
        </w:rPr>
        <w:lastRenderedPageBreak/>
        <w:br/>
      </w:r>
    </w:p>
    <w:p w14:paraId="6C5BD3AD" w14:textId="77777777" w:rsidR="008D76C0" w:rsidRPr="00641B70" w:rsidRDefault="008D76C0" w:rsidP="008D76C0">
      <w:pPr>
        <w:rPr>
          <w:rFonts w:ascii="Arial" w:hAnsi="Arial" w:cs="Arial"/>
        </w:rPr>
      </w:pPr>
      <w:r w:rsidRPr="00641B70">
        <w:rPr>
          <w:rFonts w:ascii="Arial" w:hAnsi="Arial" w:cs="Arial"/>
        </w:rPr>
        <w:t>This union believes:</w:t>
      </w:r>
    </w:p>
    <w:p w14:paraId="19D474BC" w14:textId="40B058C8" w:rsidR="008D76C0" w:rsidRPr="00641B70" w:rsidRDefault="008D76C0" w:rsidP="008D76C0">
      <w:pPr>
        <w:numPr>
          <w:ilvl w:val="0"/>
          <w:numId w:val="5"/>
        </w:numPr>
        <w:rPr>
          <w:rFonts w:ascii="Arial" w:hAnsi="Arial" w:cs="Arial"/>
        </w:rPr>
      </w:pPr>
      <w:r w:rsidRPr="00641B70">
        <w:rPr>
          <w:rFonts w:ascii="Arial" w:hAnsi="Arial" w:cs="Arial"/>
        </w:rPr>
        <w:t>Trade unions have a proud history of internationalism, and a moral and legal duty to stand against genocide,</w:t>
      </w:r>
      <w:r w:rsidR="00641B70" w:rsidRPr="00641B70">
        <w:rPr>
          <w:rFonts w:ascii="Arial" w:hAnsi="Arial" w:cs="Arial"/>
        </w:rPr>
        <w:t xml:space="preserve"> apartheid, illegal occupation,</w:t>
      </w:r>
      <w:r w:rsidRPr="00641B70">
        <w:rPr>
          <w:rFonts w:ascii="Arial" w:hAnsi="Arial" w:cs="Arial"/>
        </w:rPr>
        <w:t xml:space="preserve"> war crimes, and the international arms trade that facilitates them.</w:t>
      </w:r>
    </w:p>
    <w:p w14:paraId="068EFE88" w14:textId="77777777" w:rsidR="008D76C0" w:rsidRPr="00641B70" w:rsidRDefault="008D76C0" w:rsidP="008D76C0">
      <w:pPr>
        <w:numPr>
          <w:ilvl w:val="0"/>
          <w:numId w:val="5"/>
        </w:numPr>
        <w:rPr>
          <w:rFonts w:ascii="Arial" w:hAnsi="Arial" w:cs="Arial"/>
        </w:rPr>
      </w:pPr>
      <w:r w:rsidRPr="00641B70">
        <w:rPr>
          <w:rFonts w:ascii="Arial" w:hAnsi="Arial" w:cs="Arial"/>
        </w:rPr>
        <w:t>Dock workers, transport workers, and other unionised workers should not be forced to assist or facilitate the transit of weapons, military goods or dual use products being used in a potential genocide.</w:t>
      </w:r>
    </w:p>
    <w:p w14:paraId="36C75DA8" w14:textId="77777777" w:rsidR="008D76C0" w:rsidRPr="00641B70" w:rsidRDefault="008D76C0" w:rsidP="008D76C0">
      <w:pPr>
        <w:numPr>
          <w:ilvl w:val="0"/>
          <w:numId w:val="5"/>
        </w:numPr>
        <w:rPr>
          <w:rFonts w:ascii="Arial" w:hAnsi="Arial" w:cs="Arial"/>
        </w:rPr>
      </w:pPr>
      <w:r w:rsidRPr="00641B70">
        <w:rPr>
          <w:rFonts w:ascii="Arial" w:hAnsi="Arial" w:cs="Arial"/>
        </w:rPr>
        <w:t>Under Article I of the Genocide Convention, all state and non-state actors have a duty not only to refrain from committing genocide, but to prevent and not be complicit in genocide.</w:t>
      </w:r>
      <w:r w:rsidRPr="00641B70">
        <w:rPr>
          <w:rFonts w:ascii="Arial" w:hAnsi="Arial" w:cs="Arial"/>
        </w:rPr>
        <w:br/>
      </w:r>
      <w:r w:rsidRPr="00641B70">
        <w:rPr>
          <w:rFonts w:ascii="Arial" w:hAnsi="Arial" w:cs="Arial"/>
        </w:rPr>
        <w:br/>
      </w:r>
    </w:p>
    <w:p w14:paraId="1960BCFE" w14:textId="77777777" w:rsidR="008D76C0" w:rsidRPr="00641B70" w:rsidRDefault="008D76C0" w:rsidP="008D76C0">
      <w:pPr>
        <w:rPr>
          <w:rFonts w:ascii="Arial" w:hAnsi="Arial" w:cs="Arial"/>
        </w:rPr>
      </w:pPr>
      <w:r w:rsidRPr="00641B70">
        <w:rPr>
          <w:rFonts w:ascii="Arial" w:hAnsi="Arial" w:cs="Arial"/>
        </w:rPr>
        <w:t>This union resolves to:</w:t>
      </w:r>
    </w:p>
    <w:p w14:paraId="1325CC77" w14:textId="77777777" w:rsidR="00641B70" w:rsidRPr="00641B70" w:rsidRDefault="00641B70" w:rsidP="008D76C0">
      <w:pPr>
        <w:numPr>
          <w:ilvl w:val="0"/>
          <w:numId w:val="6"/>
        </w:numPr>
        <w:rPr>
          <w:rFonts w:ascii="Arial" w:hAnsi="Arial" w:cs="Arial"/>
        </w:rPr>
      </w:pPr>
      <w:r w:rsidRPr="00641B70">
        <w:rPr>
          <w:rFonts w:ascii="Arial" w:hAnsi="Arial" w:cs="Arial"/>
        </w:rPr>
        <w:t xml:space="preserve">Join the Palestinian-led global movement for Boycotts, Divestment and Sanctions (BDS), </w:t>
      </w:r>
      <w:proofErr w:type="spellStart"/>
      <w:r w:rsidRPr="00641B70">
        <w:rPr>
          <w:rFonts w:ascii="Arial" w:hAnsi="Arial" w:cs="Arial"/>
        </w:rPr>
        <w:t>publicaly</w:t>
      </w:r>
      <w:proofErr w:type="spellEnd"/>
      <w:r w:rsidRPr="00641B70">
        <w:rPr>
          <w:rFonts w:ascii="Arial" w:hAnsi="Arial" w:cs="Arial"/>
        </w:rPr>
        <w:t xml:space="preserve"> endorse the call for a full military embargo, and support the Publicly endorse the </w:t>
      </w:r>
      <w:r w:rsidRPr="00641B70">
        <w:rPr>
          <w:rFonts w:ascii="Arial" w:hAnsi="Arial" w:cs="Arial"/>
          <w:i/>
          <w:iCs/>
        </w:rPr>
        <w:t>No Harbour for Genocide</w:t>
      </w:r>
      <w:r w:rsidRPr="00641B70">
        <w:rPr>
          <w:rFonts w:ascii="Arial" w:hAnsi="Arial" w:cs="Arial"/>
        </w:rPr>
        <w:t xml:space="preserve"> campaign </w:t>
      </w:r>
    </w:p>
    <w:p w14:paraId="21230C27" w14:textId="5A9B1555" w:rsidR="00641B70" w:rsidRPr="00641B70" w:rsidRDefault="00641B70" w:rsidP="00641B70">
      <w:pPr>
        <w:pStyle w:val="NormalWeb"/>
        <w:numPr>
          <w:ilvl w:val="0"/>
          <w:numId w:val="6"/>
        </w:numPr>
        <w:spacing w:before="0" w:beforeAutospacing="0" w:after="0" w:afterAutospacing="0"/>
        <w:textAlignment w:val="baseline"/>
        <w:rPr>
          <w:rFonts w:ascii="Arial" w:hAnsi="Arial" w:cs="Arial"/>
          <w:color w:val="000000"/>
          <w:sz w:val="22"/>
          <w:szCs w:val="22"/>
        </w:rPr>
      </w:pPr>
      <w:r w:rsidRPr="00641B70">
        <w:rPr>
          <w:rFonts w:ascii="Arial" w:hAnsi="Arial" w:cs="Arial"/>
          <w:color w:val="000000"/>
          <w:sz w:val="22"/>
          <w:szCs w:val="22"/>
        </w:rPr>
        <w:t>C</w:t>
      </w:r>
      <w:r w:rsidRPr="00641B70">
        <w:rPr>
          <w:rFonts w:ascii="Arial" w:hAnsi="Arial" w:cs="Arial"/>
          <w:color w:val="000000"/>
          <w:sz w:val="22"/>
          <w:szCs w:val="22"/>
        </w:rPr>
        <w:t xml:space="preserve">irculate the </w:t>
      </w:r>
      <w:r w:rsidRPr="00641B70">
        <w:rPr>
          <w:rFonts w:ascii="Arial" w:hAnsi="Arial" w:cs="Arial"/>
          <w:i/>
          <w:iCs/>
          <w:color w:val="000000"/>
          <w:sz w:val="22"/>
          <w:szCs w:val="22"/>
        </w:rPr>
        <w:t xml:space="preserve">No Harbour for Genocide </w:t>
      </w:r>
      <w:r w:rsidRPr="00641B70">
        <w:rPr>
          <w:rFonts w:ascii="Arial" w:hAnsi="Arial" w:cs="Arial"/>
          <w:color w:val="000000"/>
          <w:sz w:val="22"/>
          <w:szCs w:val="22"/>
        </w:rPr>
        <w:t>its list of named vessels among relevant branches and members, especially those working in ports, transport, and logistics.</w:t>
      </w:r>
    </w:p>
    <w:p w14:paraId="5471830A" w14:textId="77777777" w:rsidR="00641B70" w:rsidRPr="00641B70" w:rsidRDefault="00641B70" w:rsidP="00641B70">
      <w:pPr>
        <w:pStyle w:val="NormalWeb"/>
        <w:spacing w:before="0" w:beforeAutospacing="0" w:after="0" w:afterAutospacing="0"/>
        <w:ind w:left="720"/>
        <w:textAlignment w:val="baseline"/>
        <w:rPr>
          <w:rFonts w:ascii="Arial" w:hAnsi="Arial" w:cs="Arial"/>
          <w:color w:val="000000"/>
          <w:sz w:val="22"/>
          <w:szCs w:val="22"/>
        </w:rPr>
      </w:pPr>
    </w:p>
    <w:p w14:paraId="21602985" w14:textId="6D1D2BCA" w:rsidR="008D76C0" w:rsidRPr="00641B70" w:rsidRDefault="008D76C0" w:rsidP="008D76C0">
      <w:pPr>
        <w:numPr>
          <w:ilvl w:val="0"/>
          <w:numId w:val="6"/>
        </w:numPr>
        <w:rPr>
          <w:rFonts w:ascii="Arial" w:hAnsi="Arial" w:cs="Arial"/>
        </w:rPr>
      </w:pPr>
      <w:r w:rsidRPr="00641B70">
        <w:rPr>
          <w:rFonts w:ascii="Arial" w:hAnsi="Arial" w:cs="Arial"/>
        </w:rPr>
        <w:t>Call on all relevant union members to refuse to facilitate, harbour, dock, unload, load, or service any vessel or company on the list linked to the arms trade with Israel, in accordance with our internationalist values and in line with the Genocide Convention.</w:t>
      </w:r>
    </w:p>
    <w:p w14:paraId="01258FDD" w14:textId="77777777" w:rsidR="008D76C0" w:rsidRPr="00641B70" w:rsidRDefault="008D76C0" w:rsidP="008D76C0">
      <w:pPr>
        <w:numPr>
          <w:ilvl w:val="0"/>
          <w:numId w:val="6"/>
        </w:numPr>
        <w:rPr>
          <w:rFonts w:ascii="Arial" w:hAnsi="Arial" w:cs="Arial"/>
        </w:rPr>
      </w:pPr>
      <w:r w:rsidRPr="00641B70">
        <w:rPr>
          <w:rFonts w:ascii="Arial" w:hAnsi="Arial" w:cs="Arial"/>
        </w:rPr>
        <w:t>Collaborate with relevant branches and members to develop a strategy to implement the blocklist.</w:t>
      </w:r>
    </w:p>
    <w:p w14:paraId="190CBBC6" w14:textId="77777777" w:rsidR="008D76C0" w:rsidRPr="00641B70" w:rsidRDefault="008D76C0" w:rsidP="008D76C0">
      <w:pPr>
        <w:numPr>
          <w:ilvl w:val="0"/>
          <w:numId w:val="6"/>
        </w:numPr>
        <w:rPr>
          <w:rFonts w:ascii="Arial" w:hAnsi="Arial" w:cs="Arial"/>
        </w:rPr>
      </w:pPr>
      <w:r w:rsidRPr="00641B70">
        <w:rPr>
          <w:rFonts w:ascii="Arial" w:hAnsi="Arial" w:cs="Arial"/>
        </w:rPr>
        <w:t xml:space="preserve">Support members who take conscientious action to uphold international law and human rights in relation to this </w:t>
      </w:r>
      <w:proofErr w:type="gramStart"/>
      <w:r w:rsidRPr="00641B70">
        <w:rPr>
          <w:rFonts w:ascii="Arial" w:hAnsi="Arial" w:cs="Arial"/>
        </w:rPr>
        <w:t>campaign, and</w:t>
      </w:r>
      <w:proofErr w:type="gramEnd"/>
      <w:r w:rsidRPr="00641B70">
        <w:rPr>
          <w:rFonts w:ascii="Arial" w:hAnsi="Arial" w:cs="Arial"/>
        </w:rPr>
        <w:t xml:space="preserve"> provide legal and industrial support where necessary.</w:t>
      </w:r>
    </w:p>
    <w:p w14:paraId="188C4E09" w14:textId="77777777" w:rsidR="008D76C0" w:rsidRPr="00641B70" w:rsidRDefault="008D76C0" w:rsidP="008D76C0">
      <w:pPr>
        <w:numPr>
          <w:ilvl w:val="0"/>
          <w:numId w:val="6"/>
        </w:numPr>
        <w:rPr>
          <w:rFonts w:ascii="Arial" w:hAnsi="Arial" w:cs="Arial"/>
        </w:rPr>
      </w:pPr>
      <w:r w:rsidRPr="00641B70">
        <w:rPr>
          <w:rFonts w:ascii="Arial" w:hAnsi="Arial" w:cs="Arial"/>
        </w:rPr>
        <w:t>Lobby port authorities, local councils, and national government to deny entry, services, or cooperation to vessels involved in the arming of Israel while a plausible case of genocide is under investigation by the ICJ.</w:t>
      </w:r>
    </w:p>
    <w:p w14:paraId="599A699A" w14:textId="77777777" w:rsidR="008D76C0" w:rsidRPr="00641B70" w:rsidRDefault="008D76C0" w:rsidP="008D76C0">
      <w:pPr>
        <w:numPr>
          <w:ilvl w:val="0"/>
          <w:numId w:val="6"/>
        </w:numPr>
        <w:rPr>
          <w:rFonts w:ascii="Arial" w:hAnsi="Arial" w:cs="Arial"/>
        </w:rPr>
      </w:pPr>
      <w:r w:rsidRPr="00641B70">
        <w:rPr>
          <w:rFonts w:ascii="Arial" w:hAnsi="Arial" w:cs="Arial"/>
        </w:rPr>
        <w:t>Call on our national union federation (e.g. TUC/ITF/etc.) to adopt this position, and coordinate solidarity action with dockworkers’ unions internationally.</w:t>
      </w:r>
    </w:p>
    <w:p w14:paraId="13D20F3A" w14:textId="77777777" w:rsidR="008D76C0" w:rsidRPr="00641B70" w:rsidRDefault="008D76C0" w:rsidP="008D76C0">
      <w:pPr>
        <w:numPr>
          <w:ilvl w:val="0"/>
          <w:numId w:val="6"/>
        </w:numPr>
        <w:rPr>
          <w:rFonts w:ascii="Arial" w:hAnsi="Arial" w:cs="Arial"/>
        </w:rPr>
      </w:pPr>
      <w:r w:rsidRPr="00641B70">
        <w:rPr>
          <w:rFonts w:ascii="Arial" w:hAnsi="Arial" w:cs="Arial"/>
        </w:rPr>
        <w:t xml:space="preserve">Circulate this motion to other branches and invite them to support and adopt the </w:t>
      </w:r>
      <w:r w:rsidRPr="00641B70">
        <w:rPr>
          <w:rFonts w:ascii="Arial" w:hAnsi="Arial" w:cs="Arial"/>
          <w:i/>
          <w:iCs/>
        </w:rPr>
        <w:t>No Harbour for Genocide</w:t>
      </w:r>
      <w:r w:rsidRPr="00641B70">
        <w:rPr>
          <w:rFonts w:ascii="Arial" w:hAnsi="Arial" w:cs="Arial"/>
        </w:rPr>
        <w:t xml:space="preserve"> campaign.</w:t>
      </w:r>
      <w:r w:rsidRPr="00641B70">
        <w:rPr>
          <w:rFonts w:ascii="Arial" w:hAnsi="Arial" w:cs="Arial"/>
        </w:rPr>
        <w:br/>
      </w:r>
      <w:r w:rsidRPr="00641B70">
        <w:rPr>
          <w:rFonts w:ascii="Arial" w:hAnsi="Arial" w:cs="Arial"/>
        </w:rPr>
        <w:br/>
      </w:r>
    </w:p>
    <w:p w14:paraId="5AEA6458" w14:textId="7C9EF0CB" w:rsidR="0057636D" w:rsidRPr="00641B70" w:rsidRDefault="008D76C0" w:rsidP="008D76C0">
      <w:pPr>
        <w:rPr>
          <w:rFonts w:ascii="Arial" w:hAnsi="Arial" w:cs="Arial"/>
        </w:rPr>
      </w:pPr>
      <w:r w:rsidRPr="00641B70">
        <w:rPr>
          <w:rFonts w:ascii="Arial" w:hAnsi="Arial" w:cs="Arial"/>
        </w:rPr>
        <w:t>Submitted by:</w:t>
      </w:r>
      <w:r w:rsidRPr="00641B70">
        <w:rPr>
          <w:rFonts w:ascii="Arial" w:hAnsi="Arial" w:cs="Arial"/>
        </w:rPr>
        <w:br/>
        <w:t xml:space="preserve"> [Your Name / Union Branch / Region]</w:t>
      </w:r>
      <w:r w:rsidRPr="00641B70">
        <w:rPr>
          <w:rFonts w:ascii="Arial" w:hAnsi="Arial" w:cs="Arial"/>
        </w:rPr>
        <w:br/>
        <w:t xml:space="preserve"> [Date]</w:t>
      </w:r>
    </w:p>
    <w:sectPr w:rsidR="0057636D" w:rsidRPr="00641B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8239C"/>
    <w:multiLevelType w:val="multilevel"/>
    <w:tmpl w:val="9FEA6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377A6D"/>
    <w:multiLevelType w:val="multilevel"/>
    <w:tmpl w:val="1632F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522A3E"/>
    <w:multiLevelType w:val="multilevel"/>
    <w:tmpl w:val="A1862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BF3016"/>
    <w:multiLevelType w:val="multilevel"/>
    <w:tmpl w:val="078604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C072D6"/>
    <w:multiLevelType w:val="multilevel"/>
    <w:tmpl w:val="9A72A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6E73107"/>
    <w:multiLevelType w:val="multilevel"/>
    <w:tmpl w:val="06B0D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2D2A36"/>
    <w:multiLevelType w:val="multilevel"/>
    <w:tmpl w:val="359E7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1E4237"/>
    <w:multiLevelType w:val="multilevel"/>
    <w:tmpl w:val="E606F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3953D8"/>
    <w:multiLevelType w:val="multilevel"/>
    <w:tmpl w:val="82520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8B65123"/>
    <w:multiLevelType w:val="multilevel"/>
    <w:tmpl w:val="FD44A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7616714">
    <w:abstractNumId w:val="5"/>
  </w:num>
  <w:num w:numId="2" w16cid:durableId="560992010">
    <w:abstractNumId w:val="6"/>
  </w:num>
  <w:num w:numId="3" w16cid:durableId="135030012">
    <w:abstractNumId w:val="3"/>
  </w:num>
  <w:num w:numId="4" w16cid:durableId="1599368825">
    <w:abstractNumId w:val="2"/>
  </w:num>
  <w:num w:numId="5" w16cid:durableId="846942579">
    <w:abstractNumId w:val="9"/>
  </w:num>
  <w:num w:numId="6" w16cid:durableId="1071348141">
    <w:abstractNumId w:val="8"/>
  </w:num>
  <w:num w:numId="7" w16cid:durableId="780147118">
    <w:abstractNumId w:val="0"/>
  </w:num>
  <w:num w:numId="8" w16cid:durableId="1739862168">
    <w:abstractNumId w:val="1"/>
  </w:num>
  <w:num w:numId="9" w16cid:durableId="1433281987">
    <w:abstractNumId w:val="7"/>
  </w:num>
  <w:num w:numId="10" w16cid:durableId="5004642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131"/>
    <w:rsid w:val="0023701E"/>
    <w:rsid w:val="0057636D"/>
    <w:rsid w:val="00641B70"/>
    <w:rsid w:val="00861131"/>
    <w:rsid w:val="008D76C0"/>
    <w:rsid w:val="009B605D"/>
    <w:rsid w:val="00DB67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0BC38"/>
  <w15:chartTrackingRefBased/>
  <w15:docId w15:val="{8DAA1ECC-7D38-4EAD-BC50-365952AC4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11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11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11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11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11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11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11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11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11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1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11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11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11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11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11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11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11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1131"/>
    <w:rPr>
      <w:rFonts w:eastAsiaTheme="majorEastAsia" w:cstheme="majorBidi"/>
      <w:color w:val="272727" w:themeColor="text1" w:themeTint="D8"/>
    </w:rPr>
  </w:style>
  <w:style w:type="paragraph" w:styleId="Title">
    <w:name w:val="Title"/>
    <w:basedOn w:val="Normal"/>
    <w:next w:val="Normal"/>
    <w:link w:val="TitleChar"/>
    <w:uiPriority w:val="10"/>
    <w:qFormat/>
    <w:rsid w:val="008611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1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1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1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1131"/>
    <w:pPr>
      <w:spacing w:before="160"/>
      <w:jc w:val="center"/>
    </w:pPr>
    <w:rPr>
      <w:i/>
      <w:iCs/>
      <w:color w:val="404040" w:themeColor="text1" w:themeTint="BF"/>
    </w:rPr>
  </w:style>
  <w:style w:type="character" w:customStyle="1" w:styleId="QuoteChar">
    <w:name w:val="Quote Char"/>
    <w:basedOn w:val="DefaultParagraphFont"/>
    <w:link w:val="Quote"/>
    <w:uiPriority w:val="29"/>
    <w:rsid w:val="00861131"/>
    <w:rPr>
      <w:i/>
      <w:iCs/>
      <w:color w:val="404040" w:themeColor="text1" w:themeTint="BF"/>
    </w:rPr>
  </w:style>
  <w:style w:type="paragraph" w:styleId="ListParagraph">
    <w:name w:val="List Paragraph"/>
    <w:basedOn w:val="Normal"/>
    <w:uiPriority w:val="34"/>
    <w:qFormat/>
    <w:rsid w:val="00861131"/>
    <w:pPr>
      <w:ind w:left="720"/>
      <w:contextualSpacing/>
    </w:pPr>
  </w:style>
  <w:style w:type="character" w:styleId="IntenseEmphasis">
    <w:name w:val="Intense Emphasis"/>
    <w:basedOn w:val="DefaultParagraphFont"/>
    <w:uiPriority w:val="21"/>
    <w:qFormat/>
    <w:rsid w:val="00861131"/>
    <w:rPr>
      <w:i/>
      <w:iCs/>
      <w:color w:val="0F4761" w:themeColor="accent1" w:themeShade="BF"/>
    </w:rPr>
  </w:style>
  <w:style w:type="paragraph" w:styleId="IntenseQuote">
    <w:name w:val="Intense Quote"/>
    <w:basedOn w:val="Normal"/>
    <w:next w:val="Normal"/>
    <w:link w:val="IntenseQuoteChar"/>
    <w:uiPriority w:val="30"/>
    <w:qFormat/>
    <w:rsid w:val="008611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1131"/>
    <w:rPr>
      <w:i/>
      <w:iCs/>
      <w:color w:val="0F4761" w:themeColor="accent1" w:themeShade="BF"/>
    </w:rPr>
  </w:style>
  <w:style w:type="character" w:styleId="IntenseReference">
    <w:name w:val="Intense Reference"/>
    <w:basedOn w:val="DefaultParagraphFont"/>
    <w:uiPriority w:val="32"/>
    <w:qFormat/>
    <w:rsid w:val="00861131"/>
    <w:rPr>
      <w:b/>
      <w:bCs/>
      <w:smallCaps/>
      <w:color w:val="0F4761" w:themeColor="accent1" w:themeShade="BF"/>
      <w:spacing w:val="5"/>
    </w:rPr>
  </w:style>
  <w:style w:type="paragraph" w:styleId="NormalWeb">
    <w:name w:val="Normal (Web)"/>
    <w:basedOn w:val="Normal"/>
    <w:uiPriority w:val="99"/>
    <w:unhideWhenUsed/>
    <w:rsid w:val="00641B7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41B70"/>
    <w:rPr>
      <w:color w:val="467886" w:themeColor="hyperlink"/>
      <w:u w:val="single"/>
    </w:rPr>
  </w:style>
  <w:style w:type="character" w:styleId="UnresolvedMention">
    <w:name w:val="Unresolved Mention"/>
    <w:basedOn w:val="DefaultParagraphFont"/>
    <w:uiPriority w:val="99"/>
    <w:semiHidden/>
    <w:unhideWhenUsed/>
    <w:rsid w:val="00641B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2984875">
      <w:bodyDiv w:val="1"/>
      <w:marLeft w:val="0"/>
      <w:marRight w:val="0"/>
      <w:marTop w:val="0"/>
      <w:marBottom w:val="0"/>
      <w:divBdr>
        <w:top w:val="none" w:sz="0" w:space="0" w:color="auto"/>
        <w:left w:val="none" w:sz="0" w:space="0" w:color="auto"/>
        <w:bottom w:val="none" w:sz="0" w:space="0" w:color="auto"/>
        <w:right w:val="none" w:sz="0" w:space="0" w:color="auto"/>
      </w:divBdr>
    </w:div>
    <w:div w:id="169784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dsmovement.net/news/disruptcomplicity-genocide-sanctions-no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dsmovement.net/resources/top-experts-law-sea-confirm-coastal-and-flag-states-have-obligation-stop-complicity" TargetMode="External"/><Relationship Id="rId5" Type="http://schemas.openxmlformats.org/officeDocument/2006/relationships/hyperlink" Target="https://documents.un.org/doc/undoc/ltd/n24/266/48/pdf/n2426648.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818</Words>
  <Characters>4667</Characters>
  <Application>Microsoft Office Word</Application>
  <DocSecurity>0</DocSecurity>
  <Lines>38</Lines>
  <Paragraphs>10</Paragraphs>
  <ScaleCrop>false</ScaleCrop>
  <Company/>
  <LinksUpToDate>false</LinksUpToDate>
  <CharactersWithSpaces>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Mariam Tuma</dc:creator>
  <cp:keywords/>
  <dc:description/>
  <cp:lastModifiedBy>Mariam Tuma</cp:lastModifiedBy>
  <cp:revision>2</cp:revision>
  <dcterms:created xsi:type="dcterms:W3CDTF">2025-09-02T10:22:00Z</dcterms:created>
  <dcterms:modified xsi:type="dcterms:W3CDTF">2025-09-02T10:22:00Z</dcterms:modified>
</cp:coreProperties>
</file>